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1A47" w14:textId="77777777" w:rsidR="00B07DC5" w:rsidRDefault="00AE248D">
      <w:bookmarkStart w:id="0" w:name="_GoBack"/>
      <w:bookmarkEnd w:id="0"/>
      <w:r>
        <w:rPr>
          <w:i/>
          <w:sz w:val="20"/>
          <w:szCs w:val="24"/>
        </w:rPr>
        <w:t xml:space="preserve">Warszawa, 25 </w:t>
      </w:r>
      <w:proofErr w:type="spellStart"/>
      <w:r>
        <w:rPr>
          <w:i/>
          <w:sz w:val="20"/>
          <w:szCs w:val="24"/>
        </w:rPr>
        <w:t>lipca</w:t>
      </w:r>
      <w:proofErr w:type="spellEnd"/>
      <w:r>
        <w:rPr>
          <w:i/>
          <w:sz w:val="20"/>
          <w:szCs w:val="24"/>
        </w:rPr>
        <w:t xml:space="preserve"> 2023 r.</w:t>
      </w:r>
    </w:p>
    <w:p w14:paraId="7AEF0FD9" w14:textId="77777777" w:rsidR="00B07DC5" w:rsidRDefault="00AE248D">
      <w:pPr>
        <w:shd w:val="clear" w:color="auto" w:fill="FFFFFF"/>
        <w:jc w:val="both"/>
      </w:pPr>
      <w:r>
        <w:rPr>
          <w:rFonts w:ascii="Calibri" w:eastAsia="Calibri" w:hAnsi="Calibri" w:cs="Calibri"/>
          <w:b/>
          <w:i/>
          <w:sz w:val="20"/>
          <w:szCs w:val="24"/>
          <w:lang w:val="pl-PL"/>
        </w:rPr>
        <w:t>Informacja prasowa</w:t>
      </w:r>
    </w:p>
    <w:p w14:paraId="403FF3EA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b/>
          <w:i/>
          <w:sz w:val="20"/>
          <w:szCs w:val="24"/>
          <w:lang w:val="pl-PL"/>
        </w:rPr>
      </w:pPr>
    </w:p>
    <w:p w14:paraId="707D2A0D" w14:textId="77777777" w:rsidR="00B07DC5" w:rsidRDefault="00AE248D">
      <w:pPr>
        <w:shd w:val="clear" w:color="auto" w:fill="FFFFFF"/>
        <w:jc w:val="center"/>
        <w:rPr>
          <w:rFonts w:ascii="Calibri" w:eastAsia="Calibri" w:hAnsi="Calibri" w:cs="Calibri"/>
          <w:b/>
          <w:lang w:val="pl-PL"/>
        </w:rPr>
      </w:pPr>
      <w:bookmarkStart w:id="1" w:name="__DdeLink__1475_1964573760"/>
      <w:bookmarkStart w:id="2" w:name="__DdeLink__1306_1964573760"/>
      <w:r>
        <w:rPr>
          <w:rFonts w:ascii="Calibri" w:eastAsia="Calibri" w:hAnsi="Calibri" w:cs="Calibri"/>
          <w:b/>
          <w:sz w:val="28"/>
          <w:szCs w:val="28"/>
          <w:lang w:val="pl-PL"/>
        </w:rPr>
        <w:t xml:space="preserve">Przedsiębiorczy naukowiec – kluczowe ogniwo w łańcuchu </w:t>
      </w:r>
      <w:r>
        <w:rPr>
          <w:rFonts w:ascii="Calibri" w:eastAsia="Calibri" w:hAnsi="Calibri" w:cs="Calibri"/>
          <w:b/>
          <w:sz w:val="28"/>
          <w:szCs w:val="28"/>
          <w:lang w:val="pl-PL"/>
        </w:rPr>
        <w:br/>
        <w:t>polskiej gospodarki</w:t>
      </w:r>
      <w:bookmarkEnd w:id="1"/>
      <w:bookmarkEnd w:id="2"/>
    </w:p>
    <w:p w14:paraId="0CC330F5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b/>
          <w:lang w:val="pl-PL"/>
        </w:rPr>
      </w:pPr>
    </w:p>
    <w:p w14:paraId="3739E0C6" w14:textId="77777777" w:rsidR="00B07DC5" w:rsidRDefault="00AE248D">
      <w:pPr>
        <w:shd w:val="clear" w:color="auto" w:fill="FFFFFF"/>
        <w:jc w:val="both"/>
        <w:rPr>
          <w:rFonts w:ascii="Calibri" w:eastAsia="Calibri" w:hAnsi="Calibri" w:cs="Calibri"/>
          <w:b/>
          <w:lang w:val="pl-PL"/>
        </w:rPr>
      </w:pPr>
      <w:r>
        <w:rPr>
          <w:rFonts w:ascii="Calibri" w:eastAsia="Calibri" w:hAnsi="Calibri" w:cs="Calibri"/>
          <w:b/>
          <w:sz w:val="24"/>
          <w:szCs w:val="24"/>
          <w:lang w:val="pl-PL"/>
        </w:rPr>
        <w:t>Światowej klasy nauka to szansa na światowy biznes. Polscy uczeni należą w wielu dziedzinach do globalnej elity, a opracowywane w krajowych laboratoriach technologie budzą zainteresowanie największych globalnych graczy. Mimo to współpraca polskich naukowcó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w z polskim biznesem nadal jest ograniczona. </w:t>
      </w:r>
    </w:p>
    <w:p w14:paraId="4270E77E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06DA545" w14:textId="77777777" w:rsidR="00B07DC5" w:rsidRDefault="00AE248D">
      <w:pPr>
        <w:shd w:val="clear" w:color="auto" w:fill="FFFFFF"/>
        <w:jc w:val="both"/>
      </w:pPr>
      <w:r>
        <w:rPr>
          <w:rFonts w:ascii="Calibri" w:eastAsia="Calibri" w:hAnsi="Calibri" w:cs="Calibri"/>
          <w:sz w:val="24"/>
          <w:szCs w:val="24"/>
          <w:lang w:val="pl-PL"/>
        </w:rPr>
        <w:t>Badania i rozwój są podstawą każdej nowoczesnej gospodarki. Według opublikowanego w lutym opracowania Fundacji Gospodarki i Administracji Publicznej, pod względem wydatków na B+R Polska do niedawna była w euro</w:t>
      </w:r>
      <w:r>
        <w:rPr>
          <w:rFonts w:ascii="Calibri" w:eastAsia="Calibri" w:hAnsi="Calibri" w:cs="Calibri"/>
          <w:sz w:val="24"/>
          <w:szCs w:val="24"/>
          <w:lang w:val="pl-PL"/>
        </w:rPr>
        <w:t>pejskim ogonie. W latach 2008-2020 doszło w Polsce do znaczącego zwiększenia nakładów na badania. Nadal jednak pozostajemy w tyle nie tylko za zachodnią Europą, ale i za Czechami czy Węgrami</w:t>
      </w:r>
      <w:r>
        <w:rPr>
          <w:rStyle w:val="Zakotwiczenieprzypisudolnego"/>
          <w:rFonts w:ascii="Calibri" w:eastAsia="Calibri" w:hAnsi="Calibri" w:cs="Calibri"/>
          <w:sz w:val="24"/>
          <w:szCs w:val="24"/>
        </w:rPr>
        <w:footnoteReference w:id="1"/>
      </w:r>
      <w:r>
        <w:rPr>
          <w:rFonts w:ascii="Calibri" w:eastAsia="Calibri" w:hAnsi="Calibri" w:cs="Calibri"/>
          <w:sz w:val="24"/>
          <w:szCs w:val="24"/>
          <w:lang w:val="pl-PL"/>
        </w:rPr>
        <w:t>. Polscy naukowcy widzą w ścisłej współpracy z biznesem szansę na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szybki rozwój polskiej nauki. </w:t>
      </w:r>
    </w:p>
    <w:p w14:paraId="0969E90A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3F1DD51D" w14:textId="77777777" w:rsidR="00B07DC5" w:rsidRDefault="00AE248D">
      <w:pPr>
        <w:shd w:val="clear" w:color="auto" w:fill="FFFFFF"/>
        <w:ind w:left="720"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b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Naukowiec do współpracy z biznesem wnosi przede wszystkim szerokie, spojrzenie na daną problematykę, pod innym niż dotychczas kątem. Jest w stanie opracowywać innowacyjne rozwiązania, które dają oszczędności i zupełnie no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we perspektywy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>tłumaczy prof. dr hab. Wojciech Knap, dyrektor Międzynarodowej Agendy Badawczej CENTERA, ośrodka rozwijającego nowoczesne technologie terahercowe.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pl-PL"/>
        </w:rPr>
        <w:t xml:space="preserve">–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Z kolei biznes potrafi rozpoznawać rynek, analizować ryzyko, rozumie, ile można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potencjalnie zarobić i jakie rozwiązania są potrzebne. Tylko sprzężenie tych umiejętności jest drogą naprzód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– dodaje naukowiec.</w:t>
      </w:r>
    </w:p>
    <w:p w14:paraId="76858C84" w14:textId="77777777" w:rsidR="00B07DC5" w:rsidRDefault="00B07DC5">
      <w:pPr>
        <w:shd w:val="clear" w:color="auto" w:fill="FFFFFF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7C6C9757" w14:textId="77777777" w:rsidR="00B07DC5" w:rsidRDefault="00AE248D">
      <w:pPr>
        <w:shd w:val="clear" w:color="auto" w:fill="FFFFFF"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Ośrodek CENTERA powstał dzięki Funduszom Europejskim z Programu Inteligentny Rozwój (POIR) przyznanym przez Fundację na rzecz 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Nauki Polskiej (FNP) w ramach programu Międzynarodowe Agendy Badawcze (MAB). Jest jednym z 14 centrów doskonałości, które powstały w Polsce w ramach programu MAB. </w:t>
      </w:r>
    </w:p>
    <w:p w14:paraId="6CF6DA51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55223D0D" w14:textId="77777777" w:rsidR="00B07DC5" w:rsidRDefault="00AE248D">
      <w:pPr>
        <w:shd w:val="clear" w:color="auto" w:fill="FFFFFF"/>
        <w:jc w:val="both"/>
      </w:pPr>
      <w:r>
        <w:rPr>
          <w:rFonts w:ascii="Calibri" w:eastAsia="Calibri" w:hAnsi="Calibri" w:cs="Calibri"/>
          <w:sz w:val="24"/>
          <w:szCs w:val="24"/>
          <w:lang w:val="pl-PL"/>
        </w:rPr>
        <w:t>Profesor Knap to jeden z czołowych badaczy tzw. promieniowania terahercowego – fal o wysoki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ej częstotliwości, mieszczących się między mikrofalami a promieniowaniem podczerwonym. Stworzony przez niego ośrodek pracuje nad rozwiązaniami, które mogą znaleźć zastosowanie w telekomunikacji, bezpieczeństwie czy produkcji przemysłowej. </w:t>
      </w:r>
    </w:p>
    <w:p w14:paraId="1D8CFDA8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44EBD904" w14:textId="77777777" w:rsidR="00B07DC5" w:rsidRDefault="00AE248D">
      <w:pPr>
        <w:shd w:val="clear" w:color="auto" w:fill="FFFFFF"/>
        <w:ind w:left="720"/>
        <w:jc w:val="both"/>
      </w:pPr>
      <w:r>
        <w:rPr>
          <w:rFonts w:ascii="Calibri" w:eastAsia="Calibri" w:hAnsi="Calibri" w:cs="Calibri"/>
          <w:bCs/>
          <w:i/>
          <w:i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i/>
          <w:iCs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Najprościej w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ytłumaczyć to na bazie bezprzewodowej komunikacji. Telefony, z których dziś korzystamy, działają na falach o częstotliwości kilku gigaherców. Ta częstotliwość ogranicza jednak to, jak szybko możemy przesyłać dane. Aby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lastRenderedPageBreak/>
        <w:t>przesyłać je na przykład tysiąc razy s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zybciej, musimy odpowiednio zwiększyć częstotliwość, a to oznacza, że w przyszłości, żeby istotnie zwiększyć szybkość przesyłania danych, będziemy w komunikacji musieli korzystać właśnie z fal terahercowych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tłumaczy badacz. 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i/>
          <w:iCs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Inną ciekawą właściwością fa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l terahercowych jest to, że przechodzą one łatwo przez różne materiały. To pozwala identyfikować niewidoczne gołym okiem obiekty, na przykład ukryte pod koszulą czy w kopercie. Pozwala też na tzw. non-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destructive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testing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, czyli testowanie produktów bez ich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 uszkadzania czy niszczenia. Możemy wyszukiwać defekty w żywności, plastikach czy drewnie. </w:t>
      </w:r>
    </w:p>
    <w:p w14:paraId="26F15721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13A85D50" w14:textId="77777777" w:rsidR="00B07DC5" w:rsidRDefault="00AE248D">
      <w:pPr>
        <w:shd w:val="clear" w:color="auto" w:fill="FFFFFF"/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Kierowana przez prof. Knapa CENTERA zatrudnia dziś około 60 pracowników. Na koncie ma już zarówno liczne patenty, jak i współpracę z wielkimi, międzynarodowymi kon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cernami. Sam prof. Knap, wraz ze współpracującymi z nim prof. Tomaszem Skotnickim, prof. Markiem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Potemskim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i prof.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Sergeyem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Ganichevem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, został w marcu tego roku umieszczony na przygotowywanej przez Uniwersytet Stanforda, wydawnictwo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Elsevier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i firmę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SciTec</w:t>
      </w:r>
      <w:r>
        <w:rPr>
          <w:rFonts w:ascii="Calibri" w:eastAsia="Calibri" w:hAnsi="Calibri" w:cs="Calibri"/>
          <w:sz w:val="24"/>
          <w:szCs w:val="24"/>
          <w:lang w:val="pl-PL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Strategies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liście najczęściej cytowanych na świecie uczonych. </w:t>
      </w:r>
    </w:p>
    <w:p w14:paraId="3D10951D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40354537" w14:textId="77777777" w:rsidR="00B07DC5" w:rsidRDefault="00AE248D">
      <w:pPr>
        <w:shd w:val="clear" w:color="auto" w:fill="FFFFFF"/>
        <w:ind w:left="720"/>
        <w:jc w:val="both"/>
      </w:pPr>
      <w:r>
        <w:rPr>
          <w:rFonts w:ascii="Calibri" w:eastAsia="Calibri" w:hAnsi="Calibri" w:cs="Calibri"/>
          <w:bCs/>
          <w:i/>
          <w:i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i/>
          <w:iCs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Mamy już partnerów biznesowych w dziedzinie non-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destructive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testing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. Współpracujemy m.in. z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Huawei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 Germany. Jest ono zainteresowane zarówno zastosowaniami technologii terahercowych w testo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waniu produktów, jak i w telekomunikacji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podkreśla prof. Knap. </w:t>
      </w:r>
      <w:r>
        <w:rPr>
          <w:rFonts w:ascii="Calibri" w:eastAsia="Calibri" w:hAnsi="Calibri" w:cs="Calibri"/>
          <w:sz w:val="24"/>
          <w:szCs w:val="24"/>
          <w:lang w:val="pl-PL"/>
        </w:rPr>
        <w:br/>
      </w:r>
      <w:r>
        <w:rPr>
          <w:rFonts w:ascii="Calibri" w:eastAsia="Calibri" w:hAnsi="Calibri" w:cs="Calibri"/>
          <w:bCs/>
          <w:i/>
          <w:i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i/>
          <w:iCs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Przychodzą do nas największe światowe firmy, takie jak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Huawei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, ale polskie nas często nie doceniają. Początkowo obiecująca współpraca z branżą paliwową nad technologiami pozwalającymi ocen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iać jakość paliwa ciekłego lub wodorowego ugrzęzła na przykład w miejscu. Jednym z wyjątków jest VIGO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Photonics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, które chce z nami współpracować nad przyszłymi projektami. Mamy więc światło w tunelu.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</w:p>
    <w:p w14:paraId="56AD13FD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48E4B5EA" w14:textId="77777777" w:rsidR="00B07DC5" w:rsidRDefault="00AE248D">
      <w:pPr>
        <w:shd w:val="clear" w:color="auto" w:fill="FFFFFF"/>
        <w:jc w:val="both"/>
      </w:pPr>
      <w:r>
        <w:rPr>
          <w:rFonts w:ascii="Calibri" w:eastAsia="Calibri" w:hAnsi="Calibri" w:cs="Calibri"/>
          <w:sz w:val="24"/>
          <w:szCs w:val="24"/>
          <w:lang w:val="pl-PL"/>
        </w:rPr>
        <w:t>Zdaniem profesora Knapa podstawowym problemem jest fak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t, że polskie firmy w większości nadal nie dorobiły się własnych działów badawczo-rozwojowych z prawdziwego zdarzenia. Znajduje to odzwierciedlenie w danych statystycznych. Ze zrealizowanego przez Eurostat badania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Community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Innovation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Survey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wynika, że zal</w:t>
      </w:r>
      <w:r>
        <w:rPr>
          <w:rFonts w:ascii="Calibri" w:eastAsia="Calibri" w:hAnsi="Calibri" w:cs="Calibri"/>
          <w:sz w:val="24"/>
          <w:szCs w:val="24"/>
          <w:lang w:val="pl-PL"/>
        </w:rPr>
        <w:t>edwie 5 proc. polskich przedsiębiorców podejmowało współpracę badawczo-rozwojową (w porównaniu do 10 proc. w Niemczech i 18 proc. w Danii). Zaledwie 2,5 proc. polskich przedsiębiorstw badanych przez Eurostat zadeklarowało ubieganie się w latach 2016–2018 o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 patent. </w:t>
      </w:r>
    </w:p>
    <w:p w14:paraId="0923A628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37A9FF55" w14:textId="77777777" w:rsidR="00B07DC5" w:rsidRDefault="00AE248D">
      <w:pPr>
        <w:shd w:val="clear" w:color="auto" w:fill="FFFFFF"/>
        <w:ind w:left="720"/>
        <w:jc w:val="both"/>
      </w:pPr>
      <w:r>
        <w:rPr>
          <w:rFonts w:ascii="Calibri" w:eastAsia="Calibri" w:hAnsi="Calibri" w:cs="Calibri"/>
          <w:bCs/>
          <w:i/>
          <w:i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i/>
          <w:iCs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Brakuje świadomości, że w Europie można odnieść sukces tylko, jeżeli robi się produkty o bardzo dużej wartości dodanej, produkty zaawansowane technologicznie, które trudno jest dogonić konkurencji np. z Azji. Nie ma trendu inwestycji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w innowacje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przekonuje naukowiec. 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pl-PL"/>
        </w:rPr>
        <w:t>–</w:t>
      </w:r>
      <w:r>
        <w:rPr>
          <w:rFonts w:ascii="Calibri" w:eastAsia="Calibri" w:hAnsi="Calibri" w:cs="Calibri"/>
          <w:b/>
          <w:i/>
          <w:iCs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>Polski biznes nie patrzy jeszcze przyszłościowo, nie ma zasobów pozwalających na działanie w perspektywie 10 letniej, zamiast tego tworzy plany na 3-4 lata naprzód. Tylko nieliczni odważają się rozwijać technologię, kt</w:t>
      </w:r>
      <w:r>
        <w:rPr>
          <w:rFonts w:ascii="Calibri" w:eastAsia="Calibri" w:hAnsi="Calibri" w:cs="Calibri"/>
          <w:i/>
          <w:iCs/>
          <w:sz w:val="24"/>
          <w:szCs w:val="24"/>
          <w:lang w:val="pl-PL"/>
        </w:rPr>
        <w:t xml:space="preserve">óra profity będzie dawała za 5 czy 7 lat. </w:t>
      </w:r>
    </w:p>
    <w:p w14:paraId="0FB53F91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37544F6E" w14:textId="77777777" w:rsidR="00B07DC5" w:rsidRDefault="00AE248D">
      <w:pPr>
        <w:shd w:val="clear" w:color="auto" w:fill="FFFFFF"/>
        <w:jc w:val="both"/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Są jednak wyjątki. Poza wspomnianym VIGO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Photonics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>, zespół prof. Knapa współpracuje z polską firmą SMARTTECH3D</w:t>
      </w:r>
      <w:r>
        <w:rPr>
          <w:rFonts w:ascii="Calibri" w:eastAsia="Calibri" w:hAnsi="Calibri" w:cs="Calibri"/>
          <w:b/>
          <w:color w:val="FF0000"/>
          <w:sz w:val="24"/>
          <w:szCs w:val="24"/>
          <w:lang w:val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l-PL"/>
        </w:rPr>
        <w:t>opracowującą technologie, które pozwolą przetworzyć skany np. części przemysłowych wykonane w 3D na precyzyjne rysunki techniczne. Dzięki technologii terahercowej takie rysunki mogą zawierać także elementy ich wewnętrznej struktury. Współzałożona 20 lat te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mu przez prof. Knapa firma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Teracalis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tworzy też we własnym zakresie roboty, które na bieżąco analizują na linii produkcyjnej plastikowe rury wykorzystywane do transportu ropy, poszukując słabości w ich strukturze. </w:t>
      </w:r>
    </w:p>
    <w:p w14:paraId="3877F9D1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6DB78C02" w14:textId="77777777" w:rsidR="00B07DC5" w:rsidRDefault="00AE248D">
      <w:pPr>
        <w:shd w:val="clear" w:color="auto" w:fill="FFFFFF"/>
        <w:jc w:val="both"/>
      </w:pPr>
      <w:r>
        <w:rPr>
          <w:rFonts w:ascii="Calibri" w:eastAsia="Calibri" w:hAnsi="Calibri" w:cs="Calibri"/>
          <w:sz w:val="24"/>
          <w:szCs w:val="24"/>
          <w:lang w:val="pl-PL"/>
        </w:rPr>
        <w:t>Współpracę między nauką a biznesem wspie</w:t>
      </w:r>
      <w:r>
        <w:rPr>
          <w:rFonts w:ascii="Calibri" w:eastAsia="Calibri" w:hAnsi="Calibri" w:cs="Calibri"/>
          <w:sz w:val="24"/>
          <w:szCs w:val="24"/>
          <w:lang w:val="pl-PL"/>
        </w:rPr>
        <w:t>rać mają działania podejmowane m.in. przez Fundację na rzecz Nauki Polskiej. Ta pozarządowa organizacja finansująca badania naukowe ogłosiła w kwietniu, że planuje realizować w nowej perspektywie funduszy UE nowe inicjatywy, takie jak Międzynarodowe Agendy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Badawcze, PRIME, Proof of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Concept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i TEAM-NET, w ramach których naukowcy opracowujący rozwiązania możliwe do zastosowania w gospodarce, mogą starać się o wysokie granty.</w:t>
      </w:r>
    </w:p>
    <w:p w14:paraId="358314B3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0BDE721" w14:textId="77777777" w:rsidR="00B07DC5" w:rsidRDefault="00AE248D">
      <w:pPr>
        <w:shd w:val="clear" w:color="auto" w:fill="FFFFFF"/>
        <w:jc w:val="both"/>
      </w:pPr>
      <w:r>
        <w:rPr>
          <w:rFonts w:ascii="Calibri" w:eastAsia="Calibri" w:hAnsi="Calibri" w:cs="Calibri"/>
          <w:sz w:val="24"/>
          <w:szCs w:val="24"/>
          <w:lang w:val="pl-PL"/>
        </w:rPr>
        <w:t>Potencjał polskiej nauki jest bowiem ogromny i w znacznym stopniu wciąż niewystarczaj</w:t>
      </w:r>
      <w:r>
        <w:rPr>
          <w:rFonts w:ascii="Calibri" w:eastAsia="Calibri" w:hAnsi="Calibri" w:cs="Calibri"/>
          <w:sz w:val="24"/>
          <w:szCs w:val="24"/>
          <w:lang w:val="pl-PL"/>
        </w:rPr>
        <w:t>ąco wykorzystany w gospodarce. Polscy badacze należą do światowej czołówki w dziedzinach takich, jak technologie kwantowe czy zaawansowane badania biochemiczne, które w najbliższych latach mogą przełożyć się globalnie na nowe usługi i technologie potencjal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nie warte miliardy dolarów. </w:t>
      </w:r>
    </w:p>
    <w:p w14:paraId="10589723" w14:textId="77777777" w:rsidR="00B07DC5" w:rsidRDefault="00B07DC5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31AACB65" w14:textId="77777777" w:rsidR="00B07DC5" w:rsidRDefault="00AE248D">
      <w:pPr>
        <w:tabs>
          <w:tab w:val="center" w:pos="4536"/>
          <w:tab w:val="right" w:pos="9072"/>
        </w:tabs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b/>
          <w:color w:val="000000"/>
          <w:sz w:val="24"/>
          <w:szCs w:val="24"/>
        </w:rPr>
        <w:t>Kontakt</w:t>
      </w:r>
      <w:proofErr w:type="spellEnd"/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color w:val="000000"/>
          <w:sz w:val="24"/>
          <w:szCs w:val="24"/>
        </w:rPr>
        <w:t>prasowy</w:t>
      </w:r>
      <w:proofErr w:type="spellEnd"/>
      <w:r>
        <w:rPr>
          <w:rFonts w:ascii="Calibri" w:hAnsi="Calibri"/>
          <w:b/>
          <w:color w:val="000000"/>
          <w:sz w:val="24"/>
          <w:szCs w:val="24"/>
        </w:rPr>
        <w:t>:</w:t>
      </w:r>
    </w:p>
    <w:p w14:paraId="0049B115" w14:textId="77777777" w:rsidR="00B07DC5" w:rsidRDefault="00AE248D">
      <w:pPr>
        <w:tabs>
          <w:tab w:val="center" w:pos="4536"/>
          <w:tab w:val="right" w:pos="9072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Elżbieta Pełka</w:t>
      </w:r>
    </w:p>
    <w:p w14:paraId="261B241F" w14:textId="77777777" w:rsidR="00B07DC5" w:rsidRDefault="00AE248D">
      <w:pPr>
        <w:tabs>
          <w:tab w:val="center" w:pos="4536"/>
          <w:tab w:val="right" w:pos="9072"/>
        </w:tabs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Agencja</w:t>
      </w:r>
      <w:proofErr w:type="spellEnd"/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Pełka i Partnerzy</w:t>
      </w:r>
    </w:p>
    <w:p w14:paraId="7A457EE8" w14:textId="77777777" w:rsidR="00B07DC5" w:rsidRDefault="00AE248D">
      <w:pPr>
        <w:tabs>
          <w:tab w:val="center" w:pos="4536"/>
          <w:tab w:val="right" w:pos="9072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tel. </w:t>
      </w:r>
      <w:proofErr w:type="spellStart"/>
      <w:r>
        <w:rPr>
          <w:rFonts w:ascii="Calibri" w:hAnsi="Calibri"/>
          <w:color w:val="000000"/>
          <w:sz w:val="24"/>
          <w:szCs w:val="24"/>
        </w:rPr>
        <w:t>kom</w:t>
      </w:r>
      <w:proofErr w:type="spellEnd"/>
      <w:r>
        <w:rPr>
          <w:rFonts w:ascii="Calibri" w:hAnsi="Calibri"/>
          <w:color w:val="000000"/>
          <w:sz w:val="24"/>
          <w:szCs w:val="24"/>
        </w:rPr>
        <w:t>.: 604 276 688</w:t>
      </w:r>
    </w:p>
    <w:p w14:paraId="57227F5B" w14:textId="77777777" w:rsidR="00B07DC5" w:rsidRDefault="00AE248D">
      <w:pPr>
        <w:tabs>
          <w:tab w:val="center" w:pos="4536"/>
          <w:tab w:val="right" w:pos="9072"/>
        </w:tabs>
        <w:jc w:val="both"/>
      </w:pPr>
      <w:proofErr w:type="spellStart"/>
      <w:r>
        <w:rPr>
          <w:rFonts w:ascii="Calibri" w:hAnsi="Calibri"/>
          <w:color w:val="000000"/>
          <w:sz w:val="24"/>
          <w:szCs w:val="24"/>
        </w:rPr>
        <w:t>adres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e-mail: elzbieta.pelka@pelkaipartnerzy.pl</w:t>
      </w:r>
    </w:p>
    <w:sectPr w:rsidR="00B07DC5">
      <w:headerReference w:type="default" r:id="rId9"/>
      <w:footerReference w:type="default" r:id="rId10"/>
      <w:pgSz w:w="11906" w:h="16838"/>
      <w:pgMar w:top="1276" w:right="1440" w:bottom="1440" w:left="1440" w:header="0" w:footer="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8FB86" w14:textId="77777777" w:rsidR="00000000" w:rsidRDefault="00AE248D">
      <w:pPr>
        <w:spacing w:line="240" w:lineRule="auto"/>
      </w:pPr>
      <w:r>
        <w:separator/>
      </w:r>
    </w:p>
  </w:endnote>
  <w:endnote w:type="continuationSeparator" w:id="0">
    <w:p w14:paraId="1E055339" w14:textId="77777777" w:rsidR="00000000" w:rsidRDefault="00AE2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F0D6" w14:textId="77777777" w:rsidR="00B07DC5" w:rsidRDefault="00AE248D">
    <w:pPr>
      <w:pStyle w:val="Stopka"/>
    </w:pPr>
    <w:r>
      <w:rPr>
        <w:noProof/>
        <w:lang w:val="pl-PL"/>
      </w:rPr>
      <w:drawing>
        <wp:anchor distT="0" distB="2540" distL="114300" distR="114300" simplePos="0" relativeHeight="7" behindDoc="1" locked="0" layoutInCell="1" allowOverlap="1" wp14:anchorId="6D912ADD" wp14:editId="75264AC1">
          <wp:simplePos x="0" y="0"/>
          <wp:positionH relativeFrom="column">
            <wp:posOffset>685800</wp:posOffset>
          </wp:positionH>
          <wp:positionV relativeFrom="paragraph">
            <wp:posOffset>-733425</wp:posOffset>
          </wp:positionV>
          <wp:extent cx="4533900" cy="892810"/>
          <wp:effectExtent l="0" t="0" r="0" b="0"/>
          <wp:wrapNone/>
          <wp:docPr id="2" name="Obraz 1" descr="W:\NOWA IDENTYFIKACJA WIZUALNA FNP\BELKI UNIJNE\_DLA UMÓW od 01.01.2018_nowe zestawienia logotypów_z Barwami RP\BEZ LOGO FNP\PL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:\NOWA IDENTYFIKACJA WIZUALNA FNP\BELKI UNIJNE\_DLA UMÓW od 01.01.2018_nowe zestawienia logotypów_z Barwami RP\BEZ LOGO FNP\PL\Logotypy_pasek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B748" w14:textId="77777777" w:rsidR="00B07DC5" w:rsidRDefault="00B07DC5"/>
  </w:footnote>
  <w:footnote w:type="continuationSeparator" w:id="0">
    <w:p w14:paraId="4364CBF1" w14:textId="77777777" w:rsidR="00B07DC5" w:rsidRDefault="00AE248D">
      <w:r>
        <w:continuationSeparator/>
      </w:r>
    </w:p>
  </w:footnote>
  <w:footnote w:id="1">
    <w:p w14:paraId="590ED2A9" w14:textId="77777777" w:rsidR="00B07DC5" w:rsidRDefault="00AE248D">
      <w:pPr>
        <w:spacing w:line="240" w:lineRule="auto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https://oees.pl/wp-content/uploads/2023/02/Wspolpraca-uczelni-z-biznesem_07.02.2023.pdf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E2D0" w14:textId="77777777" w:rsidR="00B07DC5" w:rsidRDefault="00AE248D">
    <w:pPr>
      <w:pStyle w:val="Nagwek"/>
    </w:pPr>
    <w:r>
      <w:rPr>
        <w:noProof/>
        <w:lang w:val="pl-PL"/>
      </w:rPr>
      <w:drawing>
        <wp:anchor distT="0" distB="0" distL="114300" distR="114300" simplePos="0" relativeHeight="4" behindDoc="1" locked="0" layoutInCell="1" allowOverlap="1" wp14:anchorId="0FCD4D1E" wp14:editId="52143DBC">
          <wp:simplePos x="0" y="0"/>
          <wp:positionH relativeFrom="column">
            <wp:posOffset>3784600</wp:posOffset>
          </wp:positionH>
          <wp:positionV relativeFrom="paragraph">
            <wp:posOffset>101600</wp:posOffset>
          </wp:positionV>
          <wp:extent cx="1952625" cy="636270"/>
          <wp:effectExtent l="0" t="0" r="0" b="0"/>
          <wp:wrapNone/>
          <wp:docPr id="1" name="image1.png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NPlogoKOLORp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C5"/>
    <w:rsid w:val="00AE248D"/>
    <w:rsid w:val="00B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20D6"/>
  <w15:docId w15:val="{C91970B0-4BC0-40E7-89BE-B4B51B98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45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A45F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45F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45F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C56766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45F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45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45F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B833CB"/>
    <w:rPr>
      <w:sz w:val="22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link w:val="StopkaZnak"/>
    <w:uiPriority w:val="99"/>
    <w:unhideWhenUsed/>
    <w:rsid w:val="00C56766"/>
    <w:pPr>
      <w:tabs>
        <w:tab w:val="center" w:pos="4536"/>
        <w:tab w:val="right" w:pos="9072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Props1.xml><?xml version="1.0" encoding="utf-8"?>
<ds:datastoreItem xmlns:ds="http://schemas.openxmlformats.org/officeDocument/2006/customXml" ds:itemID="{36F480E4-8E6B-4DB0-BA77-1A7E51BA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259DD-707F-4DF7-9D40-2069EB70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B0538-BEA3-4E5B-8D26-5E28D7233F1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8f4793d-3a33-4bad-9f31-3c2c128e4a3a"/>
    <ds:schemaRef ds:uri="f2acc35c-5ac4-4018-94ad-c4df1bb16b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FNP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Wojtysiak</dc:creator>
  <dc:description/>
  <cp:lastModifiedBy>Renata Sieroń</cp:lastModifiedBy>
  <cp:revision>2</cp:revision>
  <dcterms:created xsi:type="dcterms:W3CDTF">2025-02-11T11:34:00Z</dcterms:created>
  <dcterms:modified xsi:type="dcterms:W3CDTF">2025-02-11T11:34:00Z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0x0101003FAC38766F6F104292AD4EB3E95C6722</vt:lpwstr>
  </property>
</Properties>
</file>